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3B" w:rsidRPr="0023323B" w:rsidRDefault="0023323B" w:rsidP="0023323B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23323B">
        <w:rPr>
          <w:rFonts w:eastAsia="Calibri"/>
          <w:color w:val="000000"/>
          <w:lang w:eastAsia="zh-CN"/>
        </w:rPr>
        <w:t xml:space="preserve">Broj </w:t>
      </w:r>
      <w:proofErr w:type="spellStart"/>
      <w:r w:rsidRPr="0023323B">
        <w:rPr>
          <w:rFonts w:eastAsia="Calibri"/>
          <w:color w:val="000000"/>
          <w:lang w:eastAsia="zh-CN"/>
        </w:rPr>
        <w:t>RKP</w:t>
      </w:r>
      <w:proofErr w:type="spellEnd"/>
      <w:r w:rsidRPr="0023323B">
        <w:rPr>
          <w:rFonts w:eastAsia="Calibri"/>
          <w:color w:val="000000"/>
          <w:lang w:eastAsia="zh-CN"/>
        </w:rPr>
        <w:t xml:space="preserve"> – a: 09021</w:t>
      </w:r>
    </w:p>
    <w:p w:rsidR="0023323B" w:rsidRPr="0023323B" w:rsidRDefault="0023323B" w:rsidP="0023323B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23323B">
        <w:rPr>
          <w:rFonts w:eastAsia="Calibri"/>
          <w:color w:val="000000"/>
          <w:lang w:eastAsia="zh-CN"/>
        </w:rPr>
        <w:t xml:space="preserve">Matični broj: 00462110, </w:t>
      </w:r>
      <w:proofErr w:type="spellStart"/>
      <w:r w:rsidRPr="0023323B">
        <w:rPr>
          <w:rFonts w:eastAsia="Calibri"/>
          <w:color w:val="000000"/>
          <w:lang w:eastAsia="zh-CN"/>
        </w:rPr>
        <w:t>OIB</w:t>
      </w:r>
      <w:proofErr w:type="spellEnd"/>
      <w:r w:rsidRPr="0023323B">
        <w:rPr>
          <w:rFonts w:eastAsia="Calibri"/>
          <w:color w:val="000000"/>
          <w:lang w:eastAsia="zh-CN"/>
        </w:rPr>
        <w:t>: 12780201511</w:t>
      </w:r>
    </w:p>
    <w:p w:rsidR="0023323B" w:rsidRPr="0023323B" w:rsidRDefault="0023323B" w:rsidP="0023323B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23323B">
        <w:rPr>
          <w:rFonts w:eastAsia="Calibri"/>
          <w:color w:val="000000"/>
          <w:lang w:eastAsia="zh-CN"/>
        </w:rPr>
        <w:t>Naziv i adresa obveznika: Osnovna škola Mokošica, Dubrovnik</w:t>
      </w:r>
    </w:p>
    <w:p w:rsidR="0023323B" w:rsidRPr="0023323B" w:rsidRDefault="0023323B" w:rsidP="0023323B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23323B">
        <w:rPr>
          <w:rFonts w:eastAsia="Calibri"/>
          <w:color w:val="000000"/>
          <w:lang w:eastAsia="zh-CN"/>
        </w:rPr>
        <w:t xml:space="preserve">Oznaka razine: 31 </w:t>
      </w:r>
    </w:p>
    <w:p w:rsidR="0023323B" w:rsidRPr="0023323B" w:rsidRDefault="0023323B" w:rsidP="0023323B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23323B">
        <w:rPr>
          <w:rFonts w:eastAsia="Calibri"/>
          <w:color w:val="000000"/>
          <w:lang w:eastAsia="zh-CN"/>
        </w:rPr>
        <w:t>Šifra djelatnosti: 8520</w:t>
      </w:r>
    </w:p>
    <w:p w:rsidR="0023323B" w:rsidRPr="0023323B" w:rsidRDefault="0023323B" w:rsidP="0023323B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23323B">
        <w:rPr>
          <w:rFonts w:eastAsia="Calibri"/>
          <w:color w:val="000000"/>
          <w:lang w:eastAsia="zh-CN"/>
        </w:rPr>
        <w:t>Šifra županije/grada/općine: 98</w:t>
      </w:r>
    </w:p>
    <w:p w:rsidR="008160AD" w:rsidRPr="009B74F2" w:rsidRDefault="0023323B" w:rsidP="0023323B">
      <w:pPr>
        <w:rPr>
          <w:rFonts w:eastAsia="Calibri"/>
          <w:color w:val="000000"/>
          <w:lang w:eastAsia="zh-CN"/>
        </w:rPr>
      </w:pPr>
      <w:proofErr w:type="spellStart"/>
      <w:r w:rsidRPr="009B74F2">
        <w:rPr>
          <w:rFonts w:eastAsia="Calibri"/>
          <w:color w:val="000000"/>
          <w:lang w:eastAsia="zh-CN"/>
        </w:rPr>
        <w:t>IBAN</w:t>
      </w:r>
      <w:proofErr w:type="spellEnd"/>
      <w:r w:rsidRPr="009B74F2">
        <w:rPr>
          <w:rFonts w:eastAsia="Calibri"/>
          <w:color w:val="000000"/>
          <w:lang w:eastAsia="zh-CN"/>
        </w:rPr>
        <w:t xml:space="preserve">: </w:t>
      </w:r>
      <w:proofErr w:type="spellStart"/>
      <w:r w:rsidRPr="009B74F2">
        <w:rPr>
          <w:rFonts w:eastAsia="Calibri"/>
          <w:color w:val="000000"/>
          <w:lang w:eastAsia="zh-CN"/>
        </w:rPr>
        <w:t>HR4624070001100020159</w:t>
      </w:r>
      <w:proofErr w:type="spellEnd"/>
    </w:p>
    <w:p w:rsidR="0023323B" w:rsidRPr="009B74F2" w:rsidRDefault="0023323B" w:rsidP="0023323B">
      <w:pPr>
        <w:rPr>
          <w:b/>
          <w:bCs/>
        </w:rPr>
      </w:pPr>
    </w:p>
    <w:p w:rsidR="008160AD" w:rsidRPr="009B74F2" w:rsidRDefault="008160AD" w:rsidP="008160AD">
      <w:pPr>
        <w:jc w:val="center"/>
        <w:rPr>
          <w:b/>
          <w:bCs/>
        </w:rPr>
      </w:pPr>
      <w:r w:rsidRPr="009B74F2">
        <w:rPr>
          <w:b/>
          <w:bCs/>
        </w:rPr>
        <w:t>BILJEŠKE UZ FINANCIJSKE IZVJEŠTAJE</w:t>
      </w:r>
    </w:p>
    <w:p w:rsidR="008160AD" w:rsidRPr="009B74F2" w:rsidRDefault="008160AD" w:rsidP="008160AD">
      <w:pPr>
        <w:jc w:val="center"/>
        <w:rPr>
          <w:b/>
          <w:bCs/>
        </w:rPr>
      </w:pPr>
      <w:r w:rsidRPr="009B74F2">
        <w:rPr>
          <w:b/>
          <w:bCs/>
        </w:rPr>
        <w:t>za razdoblje od 1. siječnja do 30. lipnja 2023. godine</w:t>
      </w:r>
    </w:p>
    <w:p w:rsidR="008160AD" w:rsidRPr="009B74F2" w:rsidRDefault="008160AD" w:rsidP="008160AD">
      <w:pPr>
        <w:ind w:left="360"/>
        <w:jc w:val="center"/>
      </w:pPr>
      <w:r w:rsidRPr="009B74F2">
        <w:t>BILJEŠKE  UZ IZVJEŠTAJ O OSTVARENIM PRIHODIMA I RASHODIMA,</w:t>
      </w:r>
    </w:p>
    <w:p w:rsidR="008160AD" w:rsidRPr="009B74F2" w:rsidRDefault="008160AD" w:rsidP="008160AD">
      <w:pPr>
        <w:ind w:left="2136" w:firstLine="696"/>
      </w:pPr>
      <w:r w:rsidRPr="009B74F2">
        <w:t xml:space="preserve"> PRIMICIMA I IZDACIMA,  </w:t>
      </w:r>
    </w:p>
    <w:p w:rsidR="008160AD" w:rsidRPr="009B74F2" w:rsidRDefault="008160AD" w:rsidP="008160AD">
      <w:pPr>
        <w:ind w:left="1428" w:firstLine="696"/>
      </w:pPr>
      <w:r w:rsidRPr="009B74F2">
        <w:t>za razdoblje od 1. siječnja do 30. lipnja 2023. g.</w:t>
      </w:r>
    </w:p>
    <w:p w:rsidR="008160AD" w:rsidRPr="009B74F2" w:rsidRDefault="008160AD" w:rsidP="008160AD"/>
    <w:p w:rsidR="008160AD" w:rsidRPr="009B74F2" w:rsidRDefault="008160AD" w:rsidP="008160AD">
      <w:pPr>
        <w:jc w:val="both"/>
      </w:pPr>
      <w:r w:rsidRPr="009B74F2">
        <w:t>Osnovna škola posluje u skladu sa Zakonom o odgoju i obrazovanju u osnovnoj i srednjoj školi te Statutom škole. Osim osnovne djelatnosti odgoja i obrazovanja, Osnovna škola se bavi i gospodarskom djelatnošću te ostvaruje vlastite prihode od zakupa poslovnog prostora. Osnovna škola nije u sustavu poreza na dobit ni u sustavu poreza na dodanu vrijednost. Osnovna škola vodi proračunsko računovodstvo prema Zakonu o proračunu i Pravilniku o proračunskom računovodstvu i Računskom planu te financijska izvješća sastavlja sukladno Pravilniku o financijskom izvještavanju u proračunskom računovodstvu.</w:t>
      </w:r>
    </w:p>
    <w:p w:rsidR="008160AD" w:rsidRPr="009B74F2" w:rsidRDefault="008160AD" w:rsidP="008160AD">
      <w:pPr>
        <w:jc w:val="both"/>
      </w:pPr>
      <w:r w:rsidRPr="009B74F2">
        <w:t>U Bilješkama uz „Izvještaj o prihodima i rashodima, primicima i izdacima“ navode se razlozi zbog kojih je došlo do većih odstupanja od ostvarenja u izvještajnom razdoblju prethodne godine. Kao veće odstupanje podrazumijeva se odstupanje od 10% u odnosu na prethodnu godinu na</w:t>
      </w:r>
      <w:r w:rsidR="009B74F2" w:rsidRPr="009B74F2">
        <w:t xml:space="preserve"> trećoj razini računskog plana.</w:t>
      </w:r>
    </w:p>
    <w:p w:rsidR="008160AD" w:rsidRPr="009B74F2" w:rsidRDefault="008160AD" w:rsidP="008160AD"/>
    <w:p w:rsidR="008160AD" w:rsidRPr="009B74F2" w:rsidRDefault="008160AD" w:rsidP="008160AD">
      <w:pPr>
        <w:jc w:val="both"/>
        <w:rPr>
          <w:color w:val="000000"/>
        </w:rPr>
      </w:pPr>
      <w:r w:rsidRPr="009B74F2">
        <w:rPr>
          <w:b/>
          <w:bCs/>
          <w:color w:val="000000"/>
        </w:rPr>
        <w:t>Bilješka  broj 1: Pomoći proračunskim korisnicima iz proračuna koji im nije nadležan (šifre 6361+6362) 636</w:t>
      </w:r>
      <w:r w:rsidRPr="009B74F2">
        <w:rPr>
          <w:color w:val="000000"/>
        </w:rPr>
        <w:t xml:space="preserve"> – Povećanje na kontu 636 je iz razloga što je pred sam kraj 2022. godine, Vlada Republike Hrvatske donijela je Odluku o kriterijima i načinu financiranja, odnosno sufinanciranja troškova prehrane za učenike osnovnih škola za drugo polugodište školske godine 2022./2023. Odlukom je propisano da će Ministarstvo znanosti i obrazovanja podmirivati troškove financiranja, odnosno sufinanciranja prehrane za svakog učenika osnovne škole uključenog u školsku prehranu koja, u najvećoj mogućoj mjeri treba biti organizirana u skladu s Normativima za prehranu učenika u osnovnoj školi i Nacionalnim smjernicama za prehranu učenika u osnovnim školama. Utvrđeni iznos financiranja prehrane učenika iznosi 1,33 eura/10,00 kuna po danu nastave. Odlukom je određeno da se sredstva za financiranje odnosno sufinanciranje prehrane učenika doznačavaju osnivačima osnovnih škola i to za nastavne dane sukladno Odluci o početku i završetku nastavne godine, broju radnih dana i trajanju odmora učenika osnovnih i srednjih škola za školsku godinu 2022./2023. Budući da se sredstva isplaćuju iz Državnog proračuna, škole trebaju priznavati prihode na osnovnom računu 63612 Tekuće pomoći iz državnog proračuna proračunskim korisnicima proračuna </w:t>
      </w:r>
      <w:proofErr w:type="spellStart"/>
      <w:r w:rsidRPr="009B74F2">
        <w:rPr>
          <w:color w:val="000000"/>
        </w:rPr>
        <w:t>JLP</w:t>
      </w:r>
      <w:proofErr w:type="spellEnd"/>
      <w:r w:rsidRPr="009B74F2">
        <w:rPr>
          <w:color w:val="000000"/>
        </w:rPr>
        <w:t>(R)S.</w:t>
      </w:r>
    </w:p>
    <w:p w:rsidR="008160AD" w:rsidRPr="009B74F2" w:rsidRDefault="008160AD" w:rsidP="008160AD">
      <w:pPr>
        <w:jc w:val="both"/>
        <w:rPr>
          <w:color w:val="FF0000"/>
        </w:rPr>
      </w:pPr>
    </w:p>
    <w:p w:rsidR="008160AD" w:rsidRPr="009B74F2" w:rsidRDefault="009B74F2" w:rsidP="008160AD">
      <w:pPr>
        <w:jc w:val="both"/>
        <w:rPr>
          <w:color w:val="000000"/>
        </w:rPr>
      </w:pPr>
      <w:r w:rsidRPr="009B74F2">
        <w:rPr>
          <w:b/>
          <w:bCs/>
          <w:color w:val="000000"/>
        </w:rPr>
        <w:t>Bilješka broj 2</w:t>
      </w:r>
      <w:r w:rsidR="008160AD" w:rsidRPr="009B74F2">
        <w:rPr>
          <w:b/>
          <w:bCs/>
          <w:color w:val="000000"/>
        </w:rPr>
        <w:t>: Plaće (bruto) (šifre 3111 do 3114), Ostali rashodi za zaposlene, Doprinosi na plaće (šifre 3131 do 3133) – 311,312,313</w:t>
      </w:r>
      <w:r w:rsidR="008160AD" w:rsidRPr="009B74F2">
        <w:rPr>
          <w:color w:val="000000"/>
        </w:rPr>
        <w:t xml:space="preserve"> – U izvještajnom razdoblju ostvareno je više rashoda za plaću za redovan rad u odnosu na isto razdoblje prethodne godine. To je stoga što se osnovica za plaću povećala sukladno dogovoru Vlade RH i sindikata javnih službi.</w:t>
      </w:r>
    </w:p>
    <w:p w:rsidR="008160AD" w:rsidRPr="009B74F2" w:rsidRDefault="008160AD" w:rsidP="008160AD">
      <w:pPr>
        <w:jc w:val="both"/>
        <w:rPr>
          <w:color w:val="FF0000"/>
        </w:rPr>
      </w:pPr>
    </w:p>
    <w:p w:rsidR="008160AD" w:rsidRPr="009B74F2" w:rsidRDefault="008160AD" w:rsidP="008160AD">
      <w:pPr>
        <w:jc w:val="both"/>
        <w:rPr>
          <w:color w:val="000000"/>
        </w:rPr>
      </w:pPr>
    </w:p>
    <w:p w:rsidR="008160AD" w:rsidRPr="009B74F2" w:rsidRDefault="009B74F2" w:rsidP="008160AD">
      <w:pPr>
        <w:jc w:val="both"/>
        <w:rPr>
          <w:color w:val="FF0000"/>
        </w:rPr>
      </w:pPr>
      <w:r w:rsidRPr="009B74F2">
        <w:rPr>
          <w:b/>
          <w:bCs/>
          <w:color w:val="000000"/>
        </w:rPr>
        <w:lastRenderedPageBreak/>
        <w:t>Bilješka broj 3</w:t>
      </w:r>
      <w:r w:rsidR="008160AD" w:rsidRPr="009B74F2">
        <w:rPr>
          <w:b/>
          <w:bCs/>
          <w:color w:val="000000"/>
        </w:rPr>
        <w:t>: Rashodi za materijal i energiju (šifre 3221 do 3227) 322</w:t>
      </w:r>
      <w:r w:rsidR="008160AD" w:rsidRPr="009B74F2">
        <w:rPr>
          <w:color w:val="000000"/>
        </w:rPr>
        <w:t xml:space="preserve"> – U izvještajnom razdoblju ostvareno je više rashoda za uredski materijal i ostale materijalne rashode u odnosu na isto razdoblje prethodne godine. Povećanje rashoda nastalo je zbog viših cijena nabave uredskog materijala i ostalog materijala (namirnica). Materijalni rashodi nisu se mogli nabavljati po nižim cijenama, jer su dobavljači povećali cijene uslijed </w:t>
      </w:r>
      <w:proofErr w:type="spellStart"/>
      <w:r w:rsidR="008160AD" w:rsidRPr="009B74F2">
        <w:rPr>
          <w:color w:val="000000"/>
        </w:rPr>
        <w:t>inflacije.Više</w:t>
      </w:r>
      <w:proofErr w:type="spellEnd"/>
      <w:r w:rsidR="008160AD" w:rsidRPr="009B74F2">
        <w:rPr>
          <w:color w:val="000000"/>
        </w:rPr>
        <w:t xml:space="preserve"> cijene materijala, odnosno veći iznosi po toj poziciji su predviđeni financijskim planom škole</w:t>
      </w:r>
      <w:r w:rsidR="008160AD" w:rsidRPr="009B74F2">
        <w:rPr>
          <w:color w:val="FF0000"/>
        </w:rPr>
        <w:t>.</w:t>
      </w:r>
    </w:p>
    <w:p w:rsidR="008160AD" w:rsidRPr="009B74F2" w:rsidRDefault="009B74F2" w:rsidP="008160AD">
      <w:pPr>
        <w:spacing w:before="100" w:beforeAutospacing="1" w:after="100" w:afterAutospacing="1"/>
        <w:jc w:val="both"/>
        <w:rPr>
          <w:color w:val="000000"/>
        </w:rPr>
      </w:pPr>
      <w:r w:rsidRPr="009B74F2">
        <w:rPr>
          <w:b/>
          <w:bCs/>
          <w:color w:val="000000"/>
        </w:rPr>
        <w:t>Bilješka broj 4</w:t>
      </w:r>
      <w:r w:rsidR="008160AD" w:rsidRPr="009B74F2">
        <w:rPr>
          <w:b/>
          <w:bCs/>
          <w:color w:val="000000"/>
        </w:rPr>
        <w:t xml:space="preserve"> –  Postrojenja i oprema (šifre 4221 do 4228), Knjige 422,424 </w:t>
      </w:r>
      <w:r w:rsidR="008160AD" w:rsidRPr="009B74F2">
        <w:rPr>
          <w:color w:val="000000"/>
        </w:rPr>
        <w:t xml:space="preserve">– Nastavlja se zamjena dotrajalog, starog namještaja, klima uređaja, opreme te obnova fonda u školskoj knjižnici, sukladno financijskim mogućnostima Osnivača i Države, odnosno odobrenim sredstvima u financijskom planu. </w:t>
      </w:r>
    </w:p>
    <w:p w:rsidR="008160AD" w:rsidRPr="009B74F2" w:rsidRDefault="008160AD" w:rsidP="008160AD">
      <w:pPr>
        <w:jc w:val="both"/>
        <w:rPr>
          <w:b/>
          <w:bCs/>
          <w:color w:val="000000"/>
        </w:rPr>
      </w:pPr>
      <w:bookmarkStart w:id="0" w:name="_GoBack"/>
      <w:bookmarkEnd w:id="0"/>
      <w:r w:rsidRPr="009B74F2">
        <w:rPr>
          <w:b/>
          <w:bCs/>
          <w:color w:val="000000"/>
        </w:rPr>
        <w:t xml:space="preserve">Bilješke uz Izvještaj o obvezama </w:t>
      </w:r>
    </w:p>
    <w:p w:rsidR="008160AD" w:rsidRPr="009B74F2" w:rsidRDefault="008160AD" w:rsidP="008160AD">
      <w:pPr>
        <w:jc w:val="both"/>
        <w:rPr>
          <w:color w:val="000000"/>
        </w:rPr>
      </w:pPr>
      <w:r w:rsidRPr="009B74F2">
        <w:rPr>
          <w:color w:val="000000"/>
        </w:rPr>
        <w:t>Stanje nedospjelih obveza na kraju izvještajnog razdoblja se odnosi na plaću za mjesec lipanj 2023. godine, koja se isplaćuje u mjesecu srpnju 2023. godine te na obveze za materijalne rashode, obveze za financijske rashode te obveze za nespomenute financijske rashode.</w:t>
      </w:r>
    </w:p>
    <w:p w:rsidR="008160AD" w:rsidRPr="009B74F2" w:rsidRDefault="008160AD" w:rsidP="008160AD">
      <w:pPr>
        <w:jc w:val="both"/>
        <w:rPr>
          <w:color w:val="FF0000"/>
        </w:rPr>
      </w:pPr>
    </w:p>
    <w:p w:rsidR="009B74F2" w:rsidRPr="009B74F2" w:rsidRDefault="008160AD" w:rsidP="008160AD">
      <w:pPr>
        <w:jc w:val="both"/>
        <w:rPr>
          <w:color w:val="000000"/>
        </w:rPr>
      </w:pPr>
      <w:r w:rsidRPr="009B74F2">
        <w:rPr>
          <w:color w:val="000000"/>
        </w:rPr>
        <w:t>U Dubrovniku,  07. srpnja 2023. g.</w:t>
      </w:r>
    </w:p>
    <w:p w:rsidR="009B74F2" w:rsidRPr="009B74F2" w:rsidRDefault="009B74F2" w:rsidP="008160AD">
      <w:pPr>
        <w:jc w:val="both"/>
        <w:rPr>
          <w:color w:val="000000"/>
        </w:rPr>
      </w:pPr>
    </w:p>
    <w:p w:rsidR="009B74F2" w:rsidRPr="009B74F2" w:rsidRDefault="009B74F2" w:rsidP="009B74F2">
      <w:pPr>
        <w:shd w:val="clear" w:color="auto" w:fill="FFFFFF"/>
        <w:suppressAutoHyphens/>
        <w:spacing w:line="276" w:lineRule="auto"/>
        <w:jc w:val="both"/>
        <w:rPr>
          <w:rFonts w:eastAsia="Calibri"/>
          <w:color w:val="000000"/>
          <w:lang w:eastAsia="zh-CN"/>
        </w:rPr>
      </w:pPr>
      <w:r w:rsidRPr="009B74F2">
        <w:rPr>
          <w:rFonts w:eastAsia="Calibri"/>
          <w:bCs/>
          <w:color w:val="000000"/>
          <w:lang w:eastAsia="zh-CN"/>
        </w:rPr>
        <w:t xml:space="preserve">Voditelj računovodstva:                                             </w:t>
      </w:r>
      <w:r>
        <w:rPr>
          <w:rFonts w:eastAsia="Calibri"/>
          <w:bCs/>
          <w:color w:val="000000"/>
          <w:lang w:eastAsia="zh-CN"/>
        </w:rPr>
        <w:t xml:space="preserve">            </w:t>
      </w:r>
      <w:r w:rsidRPr="009B74F2">
        <w:rPr>
          <w:rFonts w:eastAsia="Calibri"/>
          <w:bCs/>
          <w:color w:val="000000"/>
          <w:lang w:eastAsia="zh-CN"/>
        </w:rPr>
        <w:t xml:space="preserve">Zakonski predstavnik:                                                                                              </w:t>
      </w:r>
    </w:p>
    <w:p w:rsidR="009B74F2" w:rsidRPr="009B74F2" w:rsidRDefault="009B74F2" w:rsidP="009B74F2">
      <w:pPr>
        <w:suppressAutoHyphens/>
        <w:jc w:val="both"/>
        <w:rPr>
          <w:rFonts w:eastAsia="Calibri"/>
          <w:color w:val="000000"/>
          <w:lang w:eastAsia="zh-CN"/>
        </w:rPr>
      </w:pPr>
      <w:r w:rsidRPr="009B74F2">
        <w:rPr>
          <w:rFonts w:eastAsia="Calibri"/>
          <w:color w:val="000000"/>
          <w:lang w:eastAsia="zh-CN"/>
        </w:rPr>
        <w:t>Andriana Šutalo</w:t>
      </w:r>
      <w:r w:rsidRPr="009B74F2">
        <w:rPr>
          <w:rFonts w:eastAsia="Calibri"/>
          <w:color w:val="000000"/>
          <w:lang w:eastAsia="zh-CN"/>
        </w:rPr>
        <w:tab/>
      </w:r>
      <w:r w:rsidRPr="009B74F2">
        <w:rPr>
          <w:rFonts w:eastAsia="Calibri"/>
          <w:color w:val="000000"/>
          <w:lang w:eastAsia="zh-CN"/>
        </w:rPr>
        <w:tab/>
      </w:r>
      <w:r>
        <w:rPr>
          <w:rFonts w:eastAsia="Calibri"/>
          <w:color w:val="000000"/>
          <w:lang w:eastAsia="zh-CN"/>
        </w:rPr>
        <w:tab/>
      </w:r>
      <w:proofErr w:type="spellStart"/>
      <w:r w:rsidRPr="009B74F2">
        <w:rPr>
          <w:rFonts w:eastAsia="Calibri"/>
          <w:color w:val="000000"/>
          <w:lang w:eastAsia="zh-CN"/>
        </w:rPr>
        <w:t>M.P</w:t>
      </w:r>
      <w:proofErr w:type="spellEnd"/>
      <w:r w:rsidRPr="009B74F2">
        <w:rPr>
          <w:rFonts w:eastAsia="Calibri"/>
          <w:color w:val="000000"/>
          <w:lang w:eastAsia="zh-CN"/>
        </w:rPr>
        <w:t>.</w:t>
      </w:r>
      <w:r w:rsidRPr="009B74F2">
        <w:rPr>
          <w:rFonts w:eastAsia="Calibri"/>
          <w:color w:val="000000"/>
          <w:lang w:eastAsia="zh-CN"/>
        </w:rPr>
        <w:tab/>
      </w:r>
      <w:r w:rsidRPr="009B74F2">
        <w:rPr>
          <w:rFonts w:eastAsia="Calibri"/>
          <w:color w:val="000000"/>
          <w:lang w:eastAsia="zh-CN"/>
        </w:rPr>
        <w:tab/>
        <w:t xml:space="preserve">             </w:t>
      </w:r>
      <w:proofErr w:type="spellStart"/>
      <w:r w:rsidRPr="009B74F2">
        <w:rPr>
          <w:rFonts w:eastAsia="Calibri"/>
          <w:color w:val="000000"/>
          <w:lang w:eastAsia="zh-CN"/>
        </w:rPr>
        <w:t>dr.sc.Petra</w:t>
      </w:r>
      <w:proofErr w:type="spellEnd"/>
      <w:r w:rsidRPr="009B74F2">
        <w:rPr>
          <w:rFonts w:eastAsia="Calibri"/>
          <w:color w:val="000000"/>
          <w:lang w:eastAsia="zh-CN"/>
        </w:rPr>
        <w:t xml:space="preserve"> Đapić-Caput</w:t>
      </w:r>
    </w:p>
    <w:p w:rsidR="009B74F2" w:rsidRPr="009B74F2" w:rsidRDefault="009B74F2" w:rsidP="009B74F2">
      <w:pPr>
        <w:suppressAutoHyphens/>
        <w:jc w:val="both"/>
        <w:rPr>
          <w:rFonts w:eastAsia="Calibri"/>
          <w:color w:val="000000"/>
          <w:lang w:eastAsia="zh-CN"/>
        </w:rPr>
      </w:pPr>
    </w:p>
    <w:p w:rsidR="009B74F2" w:rsidRPr="009B74F2" w:rsidRDefault="009B74F2" w:rsidP="009B74F2">
      <w:pPr>
        <w:suppressAutoHyphens/>
        <w:jc w:val="both"/>
        <w:rPr>
          <w:rFonts w:eastAsia="Calibri"/>
          <w:color w:val="000000"/>
          <w:lang w:eastAsia="zh-CN"/>
        </w:rPr>
      </w:pPr>
      <w:r w:rsidRPr="009B74F2">
        <w:rPr>
          <w:rFonts w:eastAsia="Calibri"/>
          <w:color w:val="000000"/>
          <w:lang w:eastAsia="zh-CN"/>
        </w:rPr>
        <w:t>_______________</w:t>
      </w:r>
      <w:r>
        <w:rPr>
          <w:rFonts w:eastAsia="Calibri"/>
          <w:color w:val="000000"/>
          <w:lang w:eastAsia="zh-CN"/>
        </w:rPr>
        <w:t>_________</w:t>
      </w:r>
      <w:r>
        <w:rPr>
          <w:rFonts w:eastAsia="Calibri"/>
          <w:color w:val="000000"/>
          <w:lang w:eastAsia="zh-CN"/>
        </w:rPr>
        <w:tab/>
      </w:r>
      <w:r>
        <w:rPr>
          <w:rFonts w:eastAsia="Calibri"/>
          <w:color w:val="000000"/>
          <w:lang w:eastAsia="zh-CN"/>
        </w:rPr>
        <w:tab/>
      </w:r>
      <w:r>
        <w:rPr>
          <w:rFonts w:eastAsia="Calibri"/>
          <w:color w:val="000000"/>
          <w:lang w:eastAsia="zh-CN"/>
        </w:rPr>
        <w:tab/>
      </w:r>
      <w:r>
        <w:rPr>
          <w:rFonts w:eastAsia="Calibri"/>
          <w:color w:val="000000"/>
          <w:lang w:eastAsia="zh-CN"/>
        </w:rPr>
        <w:tab/>
        <w:t>____________________</w:t>
      </w:r>
    </w:p>
    <w:p w:rsidR="009B74F2" w:rsidRPr="009B74F2" w:rsidRDefault="009B74F2" w:rsidP="009B74F2">
      <w:pPr>
        <w:shd w:val="clear" w:color="auto" w:fill="FFFFFF"/>
        <w:suppressAutoHyphens/>
        <w:spacing w:line="276" w:lineRule="auto"/>
        <w:jc w:val="both"/>
        <w:rPr>
          <w:rFonts w:eastAsia="Calibri"/>
          <w:b/>
          <w:color w:val="000000"/>
          <w:lang w:eastAsia="zh-CN"/>
        </w:rPr>
      </w:pPr>
    </w:p>
    <w:p w:rsidR="009B74F2" w:rsidRPr="009B74F2" w:rsidRDefault="009B74F2" w:rsidP="008160AD">
      <w:pPr>
        <w:spacing w:line="360" w:lineRule="auto"/>
        <w:ind w:left="6372"/>
        <w:jc w:val="both"/>
        <w:rPr>
          <w:color w:val="000000"/>
        </w:rPr>
      </w:pPr>
    </w:p>
    <w:p w:rsidR="009B74F2" w:rsidRPr="009B74F2" w:rsidRDefault="008160AD" w:rsidP="008160AD">
      <w:pPr>
        <w:spacing w:line="360" w:lineRule="auto"/>
        <w:ind w:left="6372"/>
        <w:jc w:val="both"/>
        <w:rPr>
          <w:color w:val="000000"/>
        </w:rPr>
      </w:pPr>
      <w:r w:rsidRPr="009B74F2">
        <w:rPr>
          <w:color w:val="000000"/>
        </w:rPr>
        <w:t xml:space="preserve">       </w:t>
      </w:r>
    </w:p>
    <w:p w:rsidR="009B74F2" w:rsidRPr="009B74F2" w:rsidRDefault="009B74F2" w:rsidP="008160AD">
      <w:pPr>
        <w:spacing w:line="360" w:lineRule="auto"/>
        <w:ind w:left="6372"/>
        <w:jc w:val="both"/>
        <w:rPr>
          <w:color w:val="000000"/>
        </w:rPr>
      </w:pPr>
    </w:p>
    <w:p w:rsidR="00977000" w:rsidRPr="009B74F2" w:rsidRDefault="00FA3AC6"/>
    <w:sectPr w:rsidR="00977000" w:rsidRPr="009B7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466E"/>
    <w:multiLevelType w:val="hybridMultilevel"/>
    <w:tmpl w:val="A858C1B0"/>
    <w:lvl w:ilvl="0" w:tplc="ED161040">
      <w:start w:val="202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D"/>
    <w:rsid w:val="001F2767"/>
    <w:rsid w:val="0023323B"/>
    <w:rsid w:val="008160AD"/>
    <w:rsid w:val="009B74F2"/>
    <w:rsid w:val="00D8579A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64-2915-4B14-BFA0-6E62F0E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2023-07-07T07:40:00Z</dcterms:created>
  <dcterms:modified xsi:type="dcterms:W3CDTF">2023-07-07T08:28:00Z</dcterms:modified>
</cp:coreProperties>
</file>