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ce7d6d24449456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9021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MOKOŠICA, DUBROVNIK</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1.308.503,56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1.491.118,91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1.302.575,96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1.663.996,14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172.877,23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4.274,63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14.702,69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187.579,92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BILJEŠKE UZ FINANCIJSKE IZVJEŠTAJE
za razdoblje od 1. siječnja do 30. lipnja 2025. godine
Osnovna škola Mokošica, Dubrovnik posluje u skladu sa Zakonom o odgoju i obrazovanju u osnovnoj i srednjoj školi te Statutom škole. Osim osnovne djelatnosti odgoja i obrazovanja, Osnovna škola se bavi i gospodarskom djelatnošću te ostvaruje vlastite prihode od zakupa poslovnog prostora. Osnovna škola Mokošica, Dubrovnik nije u sustavu poreza na dobit ni u sustavu poreza na dodanu vrijednost. Škola vodi proračunsko računovodstvo prema Zakonu o proračunu i Pravilniku o proračunskom računovodstvu i Računskom planu te financijska izvješća sastavlja sukladno Pravilniku o financijskom izvještavanju u proračunskom računovodstvu.
U Bilješkama uz „Izvještaj o prihodima i rashodima, primitcima i izdacima“ navode se razlozi zbog kojih je došlo do većih odstupanja od ostvarenja u izvještajnom razdoblju prethodne godine. Kao veće odstupanje podrazumijeva se odstupanje od 10% u odnosu na prethodnu godinu na trećoj razini računskog plana.</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1.036.869,71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1.191.570,33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w:t>
            </w:r>
          </w:p>
        </w:tc>
      </w:tr>
    </w:tbl>
    <w:p>
      <w:pPr>
        <w:spacing w:before="0" w:after="0"/>
      </w:pPr>
    </w:p>
    <w:p>
      <w:pPr>
        <w:jc w:val="both"/>
        <w:pStyle w:val="Normal"/>
        <w:spacing w:line="240" w:lineRule="auto"/>
      </w:pPr>
      <w:r>
        <w:rPr>
          <w:sz w:val="24"/>
          <w:rFonts w:ascii="Times New Roman" w:hAnsi="Times New Roman"/>
        </w:rPr>
        <w:t>Bilješka  broj 1: Pomoći proračunskim korisnicima iz proračuna koji im nije nadležan (šifre 6361+6362), 636 – Krajem veljače 2024. godine donesene su nove uredbe o nazivima radnih mjesta, uvjetima za raspored i koeficijentima za obračun plaće u javnim i državnim službama, koje su stupile na snagu 1. ožujka 2024. godine. Vlada je donijela zaključak o prihvaćanju Dodatka IV. Kolektivnom ugovoru te odluku o visini osnovice za obračun plaća u javnim službama za 2025. godinu, u jednakom iznosu kao i za državne službenike. Dogovoreno je i povećanje osnovice za plaće za 3 % od 1. veljače 2025. godine. Zbog navedenih promjena povećani su prihodi za financiranje plaća u odnosu na isto razdoblje prethodne godine, kao i prihodi poslovanja kroz pomoći iz nenadležnih proračuna. Povećani su prihodi za financiranje hladnog obroka te su odobrena dodatna sredstva za školske projekte.</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w:t>
            </w:r>
          </w:p>
        </w:tc>
      </w:tr>
    </w:tbl>
    <w:p>
      <w:pPr>
        <w:spacing w:before="0" w:after="0"/>
      </w:pPr>
    </w:p>
    <w:p>
      <w:pPr>
        <w:jc w:val="both"/>
        <w:pStyle w:val="Normal"/>
        <w:spacing w:line="240" w:lineRule="auto"/>
      </w:pPr>
      <w:r>
        <w:rPr>
          <w:sz w:val="24"/>
          <w:rFonts w:ascii="Times New Roman" w:hAnsi="Times New Roman"/>
        </w:rPr>
        <w:t>Bilješka broj 2: Prihodi od financijske imovine 641 (šifre 6412 do 6419), 641-
U izvještajnom razdoblju ostvaren je veći prihod temeljem pripisa pozitivne kamate na tekućem računu banke. Međutim, s obzirom na to da je ostvareni iznos 0,18 €, u usporedbi s 0,10 € iz istog razdoblja prethodne godine, ovo povećanje je financijski zanemarivo i nema značajan utjecaj na ukupno poslovanje škole.</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31.229,27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37.529,16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w:t>
            </w:r>
          </w:p>
        </w:tc>
      </w:tr>
    </w:tbl>
    <w:p>
      <w:pPr>
        <w:spacing w:before="0" w:after="0"/>
      </w:pPr>
    </w:p>
    <w:p>
      <w:pPr>
        <w:jc w:val="both"/>
        <w:pStyle w:val="Normal"/>
        <w:spacing w:line="240" w:lineRule="auto"/>
      </w:pPr>
      <w:r>
        <w:rPr>
          <w:sz w:val="24"/>
          <w:rFonts w:ascii="Times New Roman" w:hAnsi="Times New Roman"/>
        </w:rPr>
        <w:t>Bilješka broj 3: Prihodi po posebnim propisima (šifre 6521 do 6528), 652- OŠ Mokošica, Dubrovnik provodi projekt produženog boravka koji je većinski financiran iz proračuna Grada Dubrovnika, čime se omogućava kvalitetna organizacija slobodnog vremena učenika nakon redovne nastave. Roditelji sudjeluju u sufinanciranju troška toplog obroka za učenike koji pohađaju produženi boravak, u iznosu od 3,32 eura po učeniku dnevno. Tijekom ove školske godine zabilježen je porast broja učenika uključenih u produženi boravak, što je rezultiralo povećanjem prihoda po toj osnovi za 20,20 % u odnosu na prethodnu godinu.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1.078.997,41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1.412.150,07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130,9</w:t>
            </w:r>
          </w:p>
        </w:tc>
      </w:tr>
    </w:tbl>
    <w:p>
      <w:pPr>
        <w:spacing w:before="0" w:after="0"/>
      </w:pPr>
    </w:p>
    <w:p>
      <w:pPr>
        <w:jc w:val="both"/>
        <w:pStyle w:val="Normal"/>
        <w:spacing w:line="240" w:lineRule="auto"/>
      </w:pPr>
      <w:r>
        <w:rPr>
          <w:sz w:val="24"/>
          <w:rFonts w:ascii="Times New Roman" w:hAnsi="Times New Roman"/>
        </w:rPr>
        <w:t>Bilješka broj 4: Plaće (bruto) (šifre 3111 do 3114), Ostali rashodi za zaposlene, Doprinosi na plaće (šifre 3131 do 3133) – 311,312,313 – Dana 30. prosinca 2023. godine stupio je na snagu novi Pravilnik o proračunskom računovodstvu i Računskom planu. Iako je novi Pravilnik formalno na snazi od početka 2024. godine, njegova primjena u knjigovodstvenim evidencijama započela je tek 1. siječnja 2025. godine. Jedna od ključnih promjena odnosi se na ukidanje podskupine računa 193 – kontinuirani rashodi budućih razdoblja. Prema članku 233. novog Pravilnika, od 1. siječnja 2025. svi kontinuirani rashodi prenose se na odgovarajuće račune razreda 3 – rashodi poslovanja, što mijenja dosadašnji način knjiženja i priznavanja troškova. Naša škola je do sada kontinuirane rashode razgraničavala, no ove godine rashodi su u financijskim izvještajima prikazani kao četiri rashoda u tromjesečnom izvještaju, sedam rashoda u polugodišnjem te trinaest rashoda u godišnjim financijskom izvještaju. Istodobno, prihodi za financiranje tih rashoda i dalje se iskazuju uobičajeno, u dvanaest mjesečnih uplata, što može rezultirati iskazivanjem manjka prihoda – jer će biti prikazano trinaest mjeseci rashoda, a samo dvanaest prihoda. Ova razlika ne upućuje na stvarni manjak sredstava, već na privremeni učinak prijelaznog računovodstvenog razdoblja. U skladu s navedenim promjenama, došlo je i do znatnog povećanja rashoda za zaposlene. Budući da se trošak plaće za lipanj više nije knjižio kao kontinuirani rashod budućih razdoblja, već je odmah priznat kao trošak na kontu razreda 3, ukupni rashodi za zaposlene povećani su za 30,90 % u odnosu na isto izvještajno razdoblje prethodne godine.</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43.147,68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68.621,42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159,0</w:t>
            </w:r>
          </w:p>
        </w:tc>
      </w:tr>
    </w:tbl>
    <w:p>
      <w:pPr>
        <w:spacing w:before="0" w:after="0"/>
      </w:pPr>
    </w:p>
    <w:p>
      <w:pPr>
        <w:jc w:val="both"/>
        <w:pStyle w:val="Normal"/>
        <w:spacing w:line="240" w:lineRule="auto"/>
      </w:pPr>
      <w:r>
        <w:rPr>
          <w:sz w:val="24"/>
          <w:rFonts w:ascii="Times New Roman" w:hAnsi="Times New Roman"/>
        </w:rPr>
        <w:t>Bilješka broj 5: Rashodi za usluge (šifre 3231 do 3239), 323 - Rashodi za usluge u ovom izvještajnom razdoblju povećani su za 59,00 % u odnosu na isto razdoblje prethodne godine. Glavni razlozi za ovo povećanje su izvanredni i operativni troškovi koji nisu bili prisutni u ranijem razdoblju ili su bili u znatno manjem opsegu.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69,7</w:t>
            </w:r>
          </w:p>
        </w:tc>
      </w:tr>
    </w:tbl>
    <w:p>
      <w:pPr>
        <w:spacing w:before="0" w:after="0"/>
      </w:pPr>
    </w:p>
    <w:p>
      <w:pPr>
        <w:jc w:val="both"/>
        <w:pStyle w:val="Normal"/>
        <w:spacing w:line="240" w:lineRule="auto"/>
      </w:pPr>
      <w:r>
        <w:rPr>
          <w:sz w:val="24"/>
          <w:rFonts w:ascii="Times New Roman" w:hAnsi="Times New Roman"/>
        </w:rPr>
        <w:t>Bilješka broj 6 : Ostali nespomenuti rashodi poslovanja (šifre 3291 do 3299) 329 – U izvještajnom razdoblju ove godine ostvareno je manje rashoda za naknade u slučaju nezapošljavanja osoba s invaliditetom što je rezultiralo smanjenjem ostalih nespomenutih rashoda poslovanja za 30,30 %.</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w:t>
            </w:r>
          </w:p>
        </w:tc>
      </w:tr>
    </w:tbl>
    <w:p>
      <w:pPr>
        <w:spacing w:before="0" w:after="0"/>
      </w:pPr>
    </w:p>
    <w:p>
      <w:pPr>
        <w:jc w:val="both"/>
        <w:pStyle w:val="Normal"/>
        <w:spacing w:line="240" w:lineRule="auto"/>
      </w:pPr>
      <w:r>
        <w:rPr>
          <w:sz w:val="24"/>
          <w:rFonts w:ascii="Times New Roman" w:hAnsi="Times New Roman"/>
        </w:rPr>
        <w:t>Bilješka broj 7: Ostali financijski rashodi (šifre 3431 do 3434) 343 – U 2025. godini zabilježeno je smanjenje troškova za bankarske usluge, koji su manji za 29,00 % u odnosu na isto razdoblje prethodne godine. Ovo smanjenje rezultat je promjene u načinu poslovanja, točnije prebacivanja većine financijskih transakcija na poslovanje putem Riznice Grada Dubrovnika. Prema novom modelu, većina troškova, uključujući plaće zaposlenika i ostale operativne izdatke, sada se podmiruje izravno putem proračuna Grada Dubrovnika.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344,0</w:t>
            </w:r>
          </w:p>
        </w:tc>
      </w:tr>
    </w:tbl>
    <w:p>
      <w:pPr>
        <w:spacing w:before="0" w:after="0"/>
      </w:pPr>
    </w:p>
    <w:p>
      <w:pPr>
        <w:jc w:val="both"/>
        <w:pStyle w:val="Normal"/>
        <w:spacing w:line="240" w:lineRule="auto"/>
      </w:pPr>
      <w:r>
        <w:rPr>
          <w:sz w:val="24"/>
          <w:rFonts w:ascii="Times New Roman" w:hAnsi="Times New Roman"/>
        </w:rPr>
        <w:t>Bilješka broj 9: Postrojenja i oprema (šifre 4221 do 4228) 422 – U odnosu na prethodnu godinu, nabavljeno je više opreme, nego u istom izvještajnom razdoblju prošle godine. Lani je većina opreme nabavljena krajem izvještajnog razdoblja, a ove godine je planirana kontinuirana nabavka.</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169.295,39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4699,8</w:t>
            </w:r>
          </w:p>
        </w:tc>
      </w:tr>
    </w:tbl>
    <w:p>
      <w:pPr>
        <w:spacing w:before="0" w:after="0"/>
      </w:pPr>
    </w:p>
    <w:p>
      <w:pPr>
        <w:jc w:val="both"/>
        <w:pStyle w:val="Normal"/>
        <w:spacing w:line="240" w:lineRule="auto"/>
      </w:pPr>
      <w:r>
        <w:rPr>
          <w:sz w:val="24"/>
          <w:rFonts w:ascii="Times New Roman" w:hAnsi="Times New Roman"/>
        </w:rPr>
        <w:t>Bilješka broj 8: Obračunati prihodi poslovanja - nenaplaćeni - 96 – Na kontima 96 evidentiraju se obračunati, ali još nenaplaćeni prihodi poslovanja, koji se odnose na financiranje troškova plaća zaposlenika i drugih projekata. Ti prihodi su obračunati temeljem prava iz ugovora, ali do kraja izvještajnog razdoblja sredstva još nisu uplaćena.</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Sve obveze su na vrijeme podmirene, a stanje nedospjelih obveza na kraju izvještajnog razdoblja čine obveze za plaće, obveze po primljenim računima koje dospijevaju na plaćanje tek u srpnju 2025. godine.</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f360243a3bd4c2e" /></Relationships>
</file>