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1eb46bc894f8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9021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MOKOŠICA, DUBROVNIK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1.491.118,91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1.717.805,87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1.663.996,14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1.668.328,11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49.477,76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14.702,69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18.207,70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14.702,69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18.207,70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31.270,06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Mokošica, Dubrovnik posluje u skladu sa Zakonom o odgoju i obrazovanju u osnovnoj i srednjoj školi te Statutom škole. Osim osnovne djelatnosti odgoja i obrazovanja, Osnovna škola se bavi i gospodarskom djelatnošću te ostvaruje vlastite prihode od zakupa poslovnog prostora. Osnovna škola Mokošica, Dubrovnik nije u sustavu poreza na dobit ni u sustavu poreza na dodanu vrijednost. Škola vodi proračunsko računovodstvo prema Zakonu o proračunu i Pravilniku o proračunskom računovodstvu i Računskom planu te financijska izvješća sastavlja sukladno Pravilniku o financijskom izvještavanju u proračunskom računovodstvu.</w:t>
      </w:r>
    </w:p>
    <w:p>
      <w:r>
        <w:t xml:space="preserve">U Bilješkama uz „Izvještaj o prihodima i rashodima, primitcima i izdacima“ navode se razlozi zbog kojih je došlo do većih odstupanja od ostvarenja u izvještajnom razdoblju prethodne godine. Kao veće odstupanje podrazumijeva se odstupanje od 10% u odnosu na prethodnu godinu na trećoj razini računskog plana.</w:t>
      </w:r>
    </w:p>
    <w:p>
      <w:r>
        <w:t xml:space="preserve">U ovom izvještajnom razdoblju ostvareno je 1.717.805,87 € prihoda poslovanja, 1.668.328,11 € rashoda poslovanja i 18.207,70 € rashoda za nabavu nefinancijske imovine. Višak prihoda i primitaka u ovom razdoblju iznosi 31.270,06 €. S obzirom da je iz 2025. godine preneseno 251.517,62 manjka prihoda i primitaka, ukupni manjak koji se prenosi u sljedeće izvještajno razdoblje je 220.247,56 €.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financijske imovine (šifre 6412 do 6419)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122,2</w:t>
            </w:r>
          </w:p>
        </w:tc>
      </w:tr>
    </w:tbl>
    <w:p>
      <w:pPr>
        <w:spacing w:before="0" w:after="0"/>
      </w:pPr>
    </w:p>
    <w:p>
      <w:r>
        <w:t xml:space="preserve">Prihodi od financijske imovine u izvještajnom razdoblju bilježe indeks rasta od 122,2%, odnosno povećanje od 22,2% u odnosu na prethodno razdoblje. Navedeni relativni porast financijski je potpuno zanemariv (nematerijalan) s obzirom na to da su prihodi u prethodnom razdoblju iznosili 0,18 €, dok u tekućem razdoblju iznose 0,22 €.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37.529,16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49.628,43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132,2</w:t>
            </w:r>
          </w:p>
        </w:tc>
      </w:tr>
    </w:tbl>
    <w:p>
      <w:pPr>
        <w:spacing w:before="0" w:after="0"/>
      </w:pPr>
    </w:p>
    <w:p>
      <w:r>
        <w:t xml:space="preserve">Osnovna škola Mokošica, Dubrovnik provodi program produženog boravka koji se većinski financira iz proračuna Grada Dubrovnika, čime se osigurava kvalitetna organizacija slobodnog vremena učenika nakon završetka redovne nastave.</w:t>
      </w:r>
    </w:p>
    <w:p>
      <w:r>
        <w:t xml:space="preserve">Roditelji sudjeluju u sufinanciranju troškova toplog obroka za učenike uključene u program produženog boravka, u iznosu od 4,50 € po učeniku dnevno. Od početka školske godine 2025./2026. došlo je do povećanja cijene produženog boravka, što je imalo izravan utjecaj na rast prihoda po toj osnovi.</w:t>
      </w:r>
    </w:p>
    <w:p>
      <w:r>
        <w:t xml:space="preserve">Tijekom izvještajnog razdoblja zabilježen je i porast broja učenika uključenih u program produženog boravka, što je dodatno utjecalo na povećanje prihoda. Ukupno povećanje prihoda po ovoj osnovi iznosi 32,2 %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2.466,18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2.961,18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120,1</w:t>
            </w:r>
          </w:p>
        </w:tc>
      </w:tr>
    </w:tbl>
    <w:p>
      <w:pPr>
        <w:spacing w:before="0" w:after="0"/>
      </w:pPr>
    </w:p>
    <w:p>
      <w:r>
        <w:t xml:space="preserve">U izvještajnom razdoblju ostvaren je rast prihoda od prodaje proizvoda, robe i pruženih usluga za 20,1%. Pozitivan odmak rezultat je povećanja cijene najma poslovnog prostora u usporedbi s prethodnom godinom.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257.902,09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439.271,91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170,3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redovne djelatnosti proračunskog korisnika u izvještajnom razdoblju značajno su povećani uslijed promjene koncepta poslovanja i načina evidentiranja prihoda. Navedeni prihodi odnose se na sredstva koja Osnivač doznačuje za financiranje različitih projekata i redovne djelatnosti.</w:t>
      </w:r>
    </w:p>
    <w:p>
      <w:r>
        <w:t xml:space="preserve">U 2024. godini prihodi su se uplaćivali akontacijski, pri čemu je prihod za pokriće rashoda za mjesec prosinac 2024. godine evidentiran unutar iste godine. Suprotno tome, u 2025. godini prihod za pokriće rashoda za mjesec prosinac 2025. godine uplaćen je u siječnju 2026. godine.</w:t>
      </w:r>
    </w:p>
    <w:p>
      <w:r>
        <w:t xml:space="preserve">Zbog navedenog vremenskog pomaka u uplati i evidentiranju sredstava, došlo je do značajnog povećanja iskazanih prihoda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31.313,96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36.016,43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115,0</w:t>
            </w:r>
          </w:p>
        </w:tc>
      </w:tr>
    </w:tbl>
    <w:p>
      <w:pPr>
        <w:spacing w:before="0" w:after="0"/>
      </w:pPr>
    </w:p>
    <w:p>
      <w:r>
        <w:t xml:space="preserve">Rashodi za naknade troškova zaposlenima bilježe porast od 15,0% u odnosu na prethodnu godinu. Navedeno povećanje izravna je posljedica intenzivnijih poslovnih aktivnosti u izvještajnom razdoblju, što uključuje veći broj službenih putovanja te pojačano sudjelovanje zaposlenika na stručnim usavršavanjima, tečajevima i edukacijama radi potreba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68.621,42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101.395,52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147,8</w:t>
            </w:r>
          </w:p>
        </w:tc>
      </w:tr>
    </w:tbl>
    <w:p>
      <w:pPr>
        <w:spacing w:before="0" w:after="0"/>
      </w:pPr>
    </w:p>
    <w:p>
      <w:r>
        <w:t xml:space="preserve">Rashodi za usluge bilježe rast od 47,8% u odnosu na prethodnu godinu. Navedeno povećanje primarno je generirano realizacijom projekata tekućeg i investicijskog održavanja imovine. Dodatni utjecaj na rast ove skupine rashoda imala je i organizacija obveznih periodičkih zdravstvenih pregleda zaposlenika, koji se u usporednom razdoblju prethodne godine nisu provodili.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4.932,08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16,2</w:t>
            </w:r>
          </w:p>
        </w:tc>
      </w:tr>
    </w:tbl>
    <w:p>
      <w:pPr>
        <w:spacing w:before="0" w:after="0"/>
      </w:pPr>
    </w:p>
    <w:p>
      <w:r>
        <w:t xml:space="preserve">Rashodi na poziciji Ostale naknade građanima i kućanstvima iz proračuna u tekućoj se godini odnose isključivo na sufinanciranje prijevoza učenika u staru gradsku jezgru. Značajnija razlika u odnosu na prethodno razdoblje rezultat je promjene u načinu evidentiranja rashoda za školsku prehranu (Shema školskog voća), koji su se ranije pratili na ovim kontima, dok se od ove godine klasificiraju na drugoj proračunskoj poziciji sukladno ekonomskoj klasifikaciji.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14.702,69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18.207,70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</w:tbl>
    <w:p>
      <w:pPr>
        <w:spacing w:before="0" w:after="0"/>
      </w:pPr>
    </w:p>
    <w:p>
      <w:r>
        <w:t xml:space="preserve">Rashodi za nabavu proizvedene dugotrajne imovine bilježe rast od 23,8% u odnosu na prethodnu godinu. Navedeno odstupanje izravna je posljedica povećanog intenziteta investiranja i realizacije nabave veće količine opreme potrebne za redovno poslovanje u ovom izvještajnom razdoblju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razdoblja predstavlja ukupan iznos obveza koje na dan 30.06.2026. nisu podmirene. S obzirom da su sve obveze preostale nedospjele, a odnose se na plaću za 06/2026 godine koja dospijeva na plaćanje u 07/2026, te obveze za rashode poslovanja i obveze za nabavu nefinancijske imovine koje dospijevaju također u 07/2026.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5.515,37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Unutar pozicije Međusobni odnosi subjekata općeg proračuna iskazana su potraživanja, odnosno obveze za povrat u proračun. Navedeni iznosi se u cijelosti odnose na potraživanja za bolovanja (naknade plaće) koja se refundiraju na teret Hrvatskog zavoda za zdravstveno osiguranje (HZZO).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financijskom izvještaju za izvještajno razdoblje u okviru EU sredstava iskazani su prihodi i rashodi financirani iz dva izvora.</w:t>
      </w:r>
    </w:p>
    <w:p>
      <w:r>
        <w:t xml:space="preserve">Iz izvora 561 – Europski socijalni fond plus evidentirani su prihodi i rashodi koji se odnose na financiranje plaća pomoćnika u nastavi. Navedena sredstva korištena su u skladu s odobrenim projektima i važećim propisima, s ciljem osiguravanja potpore učenicima s teškoćama u razvoju.</w:t>
      </w:r>
    </w:p>
    <w:p>
      <w:r>
        <w:t xml:space="preserve">Iz izvora 565 – Europski poljoprivredni fond za ruralni razvoj iskazani su prihodi i rashodi vezani uz provedbu projekta Shema školskog voća u osnovnim školama. Sredstva su utrošena za realizaciju aktivnosti usmjerenih na promicanje pravilne i zdrave prehrane.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4c2b75b56d40e1" /></Relationships>
</file>